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6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B847D8" w:rsidP="00712DBD">
      <w:pPr>
        <w:pStyle w:val="Heading"/>
      </w:pPr>
      <w:r>
        <w:t xml:space="preserve">Revisão do esboço do mecanismo de queixa da Bonsucro</w:t>
      </w:r>
    </w:p>
    <w:p w:rsidR="00E02A3F" w:rsidRPr="00E02A3F" w:rsidP="00712DBD">
      <w:pPr>
        <w:pStyle w:val="Heading"/>
      </w:pPr>
      <w:r>
        <w:t xml:space="preserve">Questões de Consulta Aberta</w:t>
      </w:r>
    </w:p>
    <w:tbl>
      <w:tblPr>
        <w:tblStyle w:val="TableGrid"/>
        <w:tblW w:w="94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0"/>
      </w:tblGrid>
      <w:tr w:rsidTr="00DB3BF3">
        <w:tblPrEx>
          <w:tblW w:w="9450" w:type="dxa"/>
          <w:tblInd w:w="-2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450" w:type="dxa"/>
          </w:tcPr>
          <w:p w:rsidR="0043079B" w:rsidP="00E02A3F">
            <w:pPr>
              <w:pStyle w:val="Heading2"/>
              <w:numPr>
                <w:ilvl w:val="0"/>
                <w:numId w:val="0"/>
              </w:numPr>
              <w:outlineLvl w:val="1"/>
            </w:pPr>
            <w:r>
              <w:t xml:space="preserve">Este esboço do Mecanismo de Queixa foi concebido tendo em consideração os Critérios de Eficácia nos Princípios Orientadores da ONU sobre Empresas e Direitos Humanos ("</w:t>
            </w:r>
            <w:r>
              <w:rPr>
                <w:b/>
              </w:rPr>
              <w:t xml:space="preserve">UNGP</w:t>
            </w:r>
            <w:r>
              <w:t xml:space="preserve">"), enquanto também reconhece que a Bonsucro é uma pequena organização sem fins lucrativos, com uma limitação de fundos e recursos disponíveis e com uma base de membros diversa com amplo alcance geográfico.</w:t>
            </w:r>
            <w:r>
              <w:t xml:space="preserve"> </w:t>
            </w:r>
            <w:r>
              <w:t xml:space="preserve">Isso inevitavelmente significa que algumas concessões devem ser feitas e, em alguns casos, pode haver restrições que impeçam que certas medidas sejam tomadas.</w:t>
            </w:r>
            <w:r>
              <w:t xml:space="preserve"> </w:t>
            </w:r>
            <w:r>
              <w:t xml:space="preserve">Estamos cientes disso e estamos tomando medidas para garantir o devido alinhamento com as melhores práticas, no que for possível.</w:t>
            </w:r>
            <w:r>
              <w:t xml:space="preserve"> </w:t>
            </w:r>
            <w:r>
              <w:t xml:space="preserve">Incentivamos aqueles que respondem a esta consulta a fornecer exemplos e sugestões práticas sobre como um melhor equilíbrio pode ser obtido caso se considere que o devido alinhamento não foi obtido.</w:t>
            </w:r>
          </w:p>
          <w:p w:rsidR="00E02A3F" w:rsidRPr="00E02A3F" w:rsidP="00E02A3F">
            <w:pPr>
              <w:pStyle w:val="Heading2"/>
              <w:numPr>
                <w:ilvl w:val="0"/>
                <w:numId w:val="0"/>
              </w:numPr>
              <w:outlineLvl w:val="1"/>
            </w:pPr>
            <w:r>
              <w:t xml:space="preserve">O esboço do Mecanismo de Queixa foi projetado para tentar obter um equilíbrio geral eficaz.</w:t>
            </w:r>
            <w:r>
              <w:t xml:space="preserve"> </w:t>
            </w:r>
            <w:r>
              <w:t xml:space="preserve">Ele também leva em conta que em alguns casos, os Reclamantes terão que escolher os meios mais eficazes de obter solução e, dessa forma, não seria necessário ou apropriado que a Bonsucro tentasse abranger todas as possibilidades.</w:t>
            </w:r>
            <w:r>
              <w:t xml:space="preserve"> </w:t>
            </w:r>
            <w:r>
              <w:t xml:space="preserve">Este esboço do Mecanismo de Queixa também busca se alinhar com os UNGP de forma mais ampla, especificamente em relação a como as empresas se envolvem em impactos adversos e as responsabilidades associadas.</w:t>
            </w:r>
          </w:p>
          <w:p w:rsidR="00E02A3F" w:rsidRPr="00E02A3F" w:rsidP="00E02A3F">
            <w:pPr>
              <w:pStyle w:val="Heading2"/>
              <w:numPr>
                <w:ilvl w:val="0"/>
                <w:numId w:val="0"/>
              </w:numPr>
              <w:outlineLvl w:val="1"/>
            </w:pPr>
            <w:r>
              <w:t xml:space="preserve">A Bonsucro recebe de bom grado feedbacks construtivos gerais sobre este esboço de mecanismo, considerando os antecedentes acima.</w:t>
            </w:r>
            <w:r>
              <w:t xml:space="preserve"> </w:t>
            </w:r>
            <w:r>
              <w:t xml:space="preserve">Também identificamos algumas áreas específicas para feedback, detalhadas abaixo.</w:t>
            </w:r>
            <w:r>
              <w:t xml:space="preserve"> </w:t>
            </w:r>
            <w:r>
              <w:t xml:space="preserve">Por favor, dê o seu feedback por escrito (em inglês) para [</w:t>
            </w:r>
            <w:r>
              <w:rPr>
                <w:highlight w:val="yellow"/>
              </w:rPr>
              <w:t xml:space="preserve">endereço</w:t>
            </w:r>
            <w:r>
              <w:t xml:space="preserve">] no máximo até [</w:t>
            </w:r>
            <w:r>
              <w:rPr>
                <w:highlight w:val="yellow"/>
              </w:rPr>
              <w:t xml:space="preserve">data</w:t>
            </w:r>
            <w:r>
              <w:t xml:space="preserve">].</w:t>
            </w:r>
            <w:r>
              <w:t xml:space="preserve"> </w:t>
            </w:r>
            <w:r>
              <w:t xml:space="preserve">Caso possível, mencione o seu feedback de acordo com as questões de consulta numerada.</w:t>
            </w:r>
          </w:p>
          <w:p w:rsidR="00E02A3F" w:rsidRPr="00E02A3F" w:rsidP="00853149">
            <w:pPr>
              <w:pStyle w:val="Heading1"/>
              <w:numPr>
                <w:ilvl w:val="0"/>
                <w:numId w:val="0"/>
              </w:numPr>
              <w:ind w:left="720" w:hanging="720"/>
              <w:outlineLvl w:val="0"/>
            </w:pPr>
            <w:r>
              <w:t xml:space="preserve">Questão abrangente</w:t>
            </w:r>
          </w:p>
          <w:p w:rsidR="00E02A3F" w:rsidRPr="00E02A3F" w:rsidP="00D66ADD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rPr>
                <w:b/>
              </w:rPr>
              <w:t xml:space="preserve">Financiamento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Você recomenda, ou pode recomendar uma fundação beneficente ou outra organização que possa ter interesse em financiar esta iniciativa? 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Como o financiamento pode ser acessado para disponibilizar o Mecanismo de Queixa sem custos, dados os requisitos de recursos envolvidos no desenvolvimento e na administração de um processo externo e independente de tomada de decisões e mediação?</w:t>
            </w:r>
          </w:p>
          <w:p w:rsidR="009A0191" w:rsidRPr="00712DBD" w:rsidP="00712DBD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Critério de Eficácia da UNGP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Quão bem este Mecanismo de Queixa se alinha com os Critérios de Eficácia dos UNGP, considerando o esboço das Regras de Procedimento atuais?</w:t>
            </w:r>
            <w:r>
              <w:t xml:space="preserve"> </w:t>
            </w:r>
            <w:r>
              <w:t xml:space="preserve">Por favor, forneça:</w:t>
            </w:r>
          </w:p>
          <w:p w:rsidR="00E02A3F" w:rsidRPr="00E02A3F" w:rsidP="00E02A3F">
            <w:pPr>
              <w:pStyle w:val="Heading3"/>
              <w:outlineLvl w:val="2"/>
            </w:pPr>
            <w:r>
              <w:t xml:space="preserve">exemplos de alinhamento positivo ou boas práticas; e</w:t>
            </w:r>
          </w:p>
          <w:p w:rsidR="00B847D8" w:rsidRPr="00E02A3F" w:rsidP="00E02A3F">
            <w:pPr>
              <w:pStyle w:val="Heading3"/>
              <w:outlineLvl w:val="2"/>
            </w:pPr>
            <w:r>
              <w:t xml:space="preserve">exemplos caso o alinhamento possa ser aprimorado com sugestões específicas quanto à maneira de sua implementação.</w:t>
            </w:r>
          </w:p>
          <w:p w:rsidR="00E02A3F" w:rsidP="00712DBD">
            <w:pPr>
              <w:pStyle w:val="Heading2"/>
              <w:overflowPunct/>
              <w:autoSpaceDE/>
              <w:autoSpaceDN/>
              <w:textAlignment w:val="auto"/>
              <w:outlineLvl w:val="1"/>
            </w:pPr>
            <w:r>
              <w:t xml:space="preserve">Como as políticas e protocolos devem ser desenvolvidos para garantir a entrega de resultados corretivos eficaz, justa e compatível com direitos?</w:t>
            </w:r>
          </w:p>
          <w:p w:rsidR="00E02A3F" w:rsidRPr="00712DBD" w:rsidP="00712DBD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Salvaguarda</w:t>
            </w:r>
          </w:p>
          <w:p w:rsidR="009A0191" w:rsidP="009A0191">
            <w:pPr>
              <w:pStyle w:val="Heading2"/>
              <w:outlineLvl w:val="1"/>
            </w:pPr>
            <w:r>
              <w:t xml:space="preserve">Quais medidas e estratégia apropriadas de salvaguarda podem ser incluídas no Mecanismo de Queixa?</w:t>
            </w:r>
          </w:p>
          <w:p w:rsidR="00B847D8" w:rsidRPr="00712DBD" w:rsidP="00712DBD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Grupos vulneráveis</w:t>
            </w:r>
          </w:p>
          <w:p w:rsidR="00B847D8" w:rsidP="009A0191">
            <w:pPr>
              <w:pStyle w:val="Heading2"/>
              <w:outlineLvl w:val="1"/>
            </w:pPr>
            <w:r>
              <w:t xml:space="preserve">Como o Mecanismo de Queixa deveria apoiar e/ou considerar o contexto específico, as circunstâncias e as necessidades de usuários vulneráveis?</w:t>
            </w:r>
            <w:r>
              <w:t xml:space="preserve"> </w:t>
            </w:r>
            <w:r>
              <w:t xml:space="preserve">Quais recursos a Bonsucro poderia aproveitar para apoiar esses grupos?</w:t>
            </w:r>
          </w:p>
          <w:p w:rsidR="00B847D8" w:rsidRPr="00712DBD" w:rsidP="00712DBD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Tecnologia</w:t>
            </w:r>
          </w:p>
          <w:p w:rsidR="00B847D8" w:rsidP="009A0191">
            <w:pPr>
              <w:pStyle w:val="Heading2"/>
              <w:outlineLvl w:val="1"/>
            </w:pPr>
            <w:r>
              <w:t xml:space="preserve">Quais exemplos de tecnologias digitais seguras e respeitadoras de direitos existem que podem ajudar usuários a apresentar queixas?</w:t>
            </w:r>
          </w:p>
          <w:p w:rsidR="00B847D8" w:rsidRPr="00712DBD" w:rsidP="00712DBD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Colaboração</w:t>
            </w:r>
          </w:p>
          <w:p w:rsidR="00B847D8" w:rsidP="009A0191">
            <w:pPr>
              <w:pStyle w:val="Heading2"/>
              <w:outlineLvl w:val="1"/>
            </w:pPr>
            <w:r>
              <w:t xml:space="preserve">Como o Mecanismo de Queixa da Bonsucro deveria colaborar com:</w:t>
            </w:r>
          </w:p>
          <w:p w:rsidR="00B847D8" w:rsidP="00B847D8">
            <w:pPr>
              <w:pStyle w:val="Heading3"/>
              <w:outlineLvl w:val="2"/>
            </w:pPr>
            <w:r>
              <w:t xml:space="preserve">os mecanismos de queixa de outras organizações; e</w:t>
            </w:r>
          </w:p>
          <w:p w:rsidR="00B847D8" w:rsidP="00B847D8">
            <w:pPr>
              <w:pStyle w:val="Heading3"/>
              <w:outlineLvl w:val="2"/>
            </w:pPr>
            <w:r>
              <w:t xml:space="preserve">agências estatais?</w:t>
            </w:r>
          </w:p>
          <w:p w:rsidR="00B847D8" w:rsidP="00D66ADD">
            <w:pPr>
              <w:pStyle w:val="Heading2"/>
              <w:outlineLvl w:val="1"/>
            </w:pPr>
            <w:r>
              <w:t xml:space="preserve">Quais políticas e protocolos deveriam ser desenvolvidos para apoiar essa colaboração?</w:t>
            </w:r>
          </w:p>
          <w:p w:rsidR="00853149" w:rsidP="00853149">
            <w:pPr>
              <w:pStyle w:val="Heading1"/>
              <w:numPr>
                <w:ilvl w:val="0"/>
                <w:numId w:val="0"/>
              </w:numPr>
              <w:outlineLvl w:val="0"/>
            </w:pPr>
          </w:p>
          <w:p w:rsidR="00E02A3F" w:rsidRPr="00E02A3F" w:rsidP="00853149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t xml:space="preserve">QUESTÕES ESPECÍFICAS RELACIONADAS ÀS REGRAS DE PROCEDIMENTO</w:t>
            </w:r>
          </w:p>
        </w:tc>
      </w:tr>
      <w:tr w:rsidTr="00DB3BF3">
        <w:tblPrEx>
          <w:tblW w:w="9450" w:type="dxa"/>
          <w:tblInd w:w="-252" w:type="dxa"/>
          <w:tblLayout w:type="fixed"/>
          <w:tblLook w:val="04A0"/>
        </w:tblPrEx>
        <w:trPr>
          <w:trHeight w:val="493"/>
        </w:trPr>
        <w:tc>
          <w:tcPr>
            <w:tcW w:w="9450" w:type="dxa"/>
            <w:vMerge w:val="restart"/>
          </w:tcPr>
          <w:p w:rsidR="00E02A3F" w:rsidRPr="00E02A3F" w:rsidP="00E02A3F">
            <w:pPr>
              <w:pStyle w:val="Heading1"/>
              <w:outlineLvl w:val="0"/>
            </w:pPr>
            <w:r>
              <w:t xml:space="preserve">Escopo</w:t>
            </w:r>
          </w:p>
          <w:p w:rsidR="00E02A3F" w:rsidRPr="00712DBD" w:rsidP="00B847D8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Possíveis Membros (Regra de Procedimento, 2.1)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Queixas contra Membros em Potencial apresentadas durante o período de candidatura de 30 dias também deveriam ser tratadas através do Mecanismo de Queixa da Bonsucro?</w:t>
            </w:r>
          </w:p>
        </w:tc>
      </w:tr>
      <w:tr w:rsidTr="00DB3BF3">
        <w:tblPrEx>
          <w:tblW w:w="9450" w:type="dxa"/>
          <w:tblInd w:w="-252" w:type="dxa"/>
          <w:tblLayout w:type="fixed"/>
          <w:tblLook w:val="04A0"/>
        </w:tblPrEx>
        <w:trPr>
          <w:trHeight w:val="495"/>
        </w:trPr>
        <w:tc>
          <w:tcPr>
            <w:tcW w:w="9450" w:type="dxa"/>
            <w:vMerge/>
          </w:tcPr>
          <w:p w:rsidR="00E02A3F" w:rsidRPr="00E02A3F" w:rsidP="00E02A3F">
            <w:pPr>
              <w:pStyle w:val="Heading"/>
              <w:overflowPunct/>
              <w:autoSpaceDE/>
              <w:autoSpaceDN/>
              <w:textAlignment w:val="auto"/>
            </w:pPr>
          </w:p>
        </w:tc>
      </w:tr>
      <w:tr w:rsidTr="00DB3BF3">
        <w:tblPrEx>
          <w:tblW w:w="9450" w:type="dxa"/>
          <w:tblInd w:w="-252" w:type="dxa"/>
          <w:tblLayout w:type="fixed"/>
          <w:tblLook w:val="04A0"/>
        </w:tblPrEx>
        <w:tc>
          <w:tcPr>
            <w:tcW w:w="9450" w:type="dxa"/>
          </w:tcPr>
          <w:p w:rsidR="00B847D8" w:rsidRPr="00712DBD" w:rsidP="00712DBD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Conteúdo de uma queixa (Regras de Procedimento 2.1 a 2.2)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Como alegações contra os membros da Bonsucro não relacionadas à sua cadeia de suprimento de cana-de-açúcar devem ser tratadas?</w:t>
            </w:r>
            <w:r>
              <w:t xml:space="preserve"> 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É apropriado que questões não relacionadas tenham impacto sobre a filiação junto à Bonsucro, ou que a Bonsucro tenha qualquer envolvimento com tais questões?</w:t>
            </w:r>
          </w:p>
        </w:tc>
      </w:tr>
      <w:tr w:rsidTr="00DB3BF3">
        <w:tblPrEx>
          <w:tblW w:w="9450" w:type="dxa"/>
          <w:tblInd w:w="-252" w:type="dxa"/>
          <w:tblLayout w:type="fixed"/>
          <w:tblLook w:val="04A0"/>
        </w:tblPrEx>
        <w:tc>
          <w:tcPr>
            <w:tcW w:w="9450" w:type="dxa"/>
          </w:tcPr>
          <w:p w:rsidR="00E02A3F" w:rsidRPr="00E02A3F" w:rsidP="00E02A3F">
            <w:pPr>
              <w:pStyle w:val="Heading2"/>
              <w:outlineLvl w:val="1"/>
            </w:pPr>
            <w:r>
              <w:t xml:space="preserve">Que informações e orientações podem ser fornecidas para ajudar os reclamantes a entenderem quais questões são tratadas mais apropriadamente por autoridades públicas e qual será a função da Bonsucro em relação a tais questões, se for o caso?</w:t>
            </w:r>
            <w:r>
              <w:t xml:space="preserve"> </w:t>
            </w:r>
          </w:p>
        </w:tc>
      </w:tr>
      <w:tr w:rsidTr="00DB3BF3">
        <w:tblPrEx>
          <w:tblW w:w="9450" w:type="dxa"/>
          <w:tblInd w:w="-252" w:type="dxa"/>
          <w:tblLayout w:type="fixed"/>
          <w:tblLook w:val="04A0"/>
        </w:tblPrEx>
        <w:tc>
          <w:tcPr>
            <w:tcW w:w="9450" w:type="dxa"/>
          </w:tcPr>
          <w:p w:rsidR="00853149" w:rsidP="00853149">
            <w:pPr>
              <w:pStyle w:val="Heading1"/>
              <w:numPr>
                <w:ilvl w:val="0"/>
                <w:numId w:val="0"/>
              </w:numPr>
              <w:ind w:left="720"/>
              <w:outlineLvl w:val="0"/>
            </w:pPr>
          </w:p>
          <w:p w:rsidR="00853149" w:rsidP="00853149">
            <w:pPr>
              <w:pStyle w:val="Heading1"/>
              <w:numPr>
                <w:ilvl w:val="0"/>
                <w:numId w:val="0"/>
              </w:numPr>
              <w:ind w:left="720"/>
              <w:outlineLvl w:val="0"/>
            </w:pPr>
          </w:p>
          <w:p w:rsidR="00E02A3F" w:rsidRPr="00E02A3F" w:rsidP="00E02A3F">
            <w:pPr>
              <w:pStyle w:val="Heading1"/>
              <w:outlineLvl w:val="0"/>
            </w:pPr>
            <w:r>
              <w:t xml:space="preserve">Como apresentar uma queixa</w:t>
            </w:r>
          </w:p>
        </w:tc>
      </w:tr>
      <w:tr w:rsidTr="00DB3BF3">
        <w:tblPrEx>
          <w:tblW w:w="9450" w:type="dxa"/>
          <w:tblInd w:w="-252" w:type="dxa"/>
          <w:tblLayout w:type="fixed"/>
          <w:tblLook w:val="04A0"/>
        </w:tblPrEx>
        <w:trPr>
          <w:trHeight w:val="493"/>
        </w:trPr>
        <w:tc>
          <w:tcPr>
            <w:tcW w:w="9450" w:type="dxa"/>
            <w:vMerge w:val="restart"/>
          </w:tcPr>
          <w:p w:rsidR="00757DDD" w:rsidRPr="00757DDD" w:rsidP="006C5151">
            <w:pPr>
              <w:pStyle w:val="MarginText"/>
              <w:spacing w:before="120" w:after="120"/>
              <w:ind w:left="720"/>
              <w:rPr>
                <w:b/>
              </w:rPr>
            </w:pPr>
            <w:r>
              <w:rPr>
                <w:b/>
              </w:rPr>
              <w:t xml:space="preserve">Método de apresentação (Regra de Procedimento, 3.5)</w:t>
            </w:r>
          </w:p>
          <w:p w:rsidR="00757DDD" w:rsidP="00757DDD">
            <w:pPr>
              <w:pStyle w:val="Heading2"/>
              <w:outlineLvl w:val="1"/>
            </w:pPr>
            <w:r>
              <w:t xml:space="preserve">Para um processo gerenciável e conciso, as apresentações devem se dar por escrito.</w:t>
            </w:r>
            <w:r>
              <w:t xml:space="preserve"> </w:t>
            </w:r>
            <w:r>
              <w:t xml:space="preserve">Contudo, caso você tenha experiência em gerir um mecanismo de queixa com outros pontos de acesso do usuário, informe detalhes sobre como isso funcionou e quais recursos foram necessários.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Quais serviços de apoio linguístico e/ou tradução existem que podem ser utilizados para ajudar os Reclamantes a fazer uma queixa em inglês?</w:t>
            </w:r>
          </w:p>
          <w:p w:rsidR="00E02A3F" w:rsidRPr="00E02A3F" w:rsidP="00757DDD">
            <w:pPr>
              <w:pStyle w:val="Heading2"/>
              <w:outlineLvl w:val="1"/>
            </w:pPr>
            <w:r>
              <w:t xml:space="preserve">Como serviços de tradução podem ser disponibilizados aos Reclamantes sem custo ou mediante uma cobrança mínima?</w:t>
            </w:r>
          </w:p>
        </w:tc>
      </w:tr>
      <w:tr w:rsidTr="00DB3BF3">
        <w:tblPrEx>
          <w:tblW w:w="9450" w:type="dxa"/>
          <w:tblInd w:w="-252" w:type="dxa"/>
          <w:tblLayout w:type="fixed"/>
          <w:tblLook w:val="04A0"/>
        </w:tblPrEx>
        <w:trPr>
          <w:trHeight w:val="495"/>
        </w:trPr>
        <w:tc>
          <w:tcPr>
            <w:tcW w:w="9450" w:type="dxa"/>
            <w:vMerge/>
          </w:tcPr>
          <w:p w:rsidR="00E02A3F" w:rsidRPr="00E02A3F" w:rsidP="00E02A3F">
            <w:pPr>
              <w:pStyle w:val="Heading"/>
              <w:overflowPunct/>
              <w:autoSpaceDE/>
              <w:autoSpaceDN/>
              <w:textAlignment w:val="auto"/>
            </w:pPr>
          </w:p>
        </w:tc>
      </w:tr>
      <w:tr w:rsidTr="00DB3BF3">
        <w:tblPrEx>
          <w:tblW w:w="9450" w:type="dxa"/>
          <w:tblInd w:w="-252" w:type="dxa"/>
          <w:tblLayout w:type="fixed"/>
          <w:tblLook w:val="04A0"/>
        </w:tblPrEx>
        <w:tc>
          <w:tcPr>
            <w:tcW w:w="9450" w:type="dxa"/>
          </w:tcPr>
          <w:p w:rsidR="00E02A3F" w:rsidRPr="00E02A3F" w:rsidP="00E02A3F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Grupo de Apoio ao Mecanismo de Queixa (Regra de Procedimento, 3.6)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Qual função outras organizações poderiam/deveriam exercer no apoio à apresentação de queixas, por exemplo, organizações da sociedade civil, organizações beneficentes, advogados pro bono, etc?</w:t>
            </w:r>
            <w:r>
              <w:t xml:space="preserve"> </w:t>
            </w:r>
            <w:r>
              <w:t xml:space="preserve">Quais organizações devem exercer um papel?</w:t>
            </w:r>
            <w:r>
              <w:t xml:space="preserve">  </w:t>
            </w:r>
            <w:r>
              <w:t xml:space="preserve">Em quem o "Grupo de Apoio ao Mecanismo de Queixa" deveria consistir?</w:t>
            </w:r>
            <w:r>
              <w:t xml:space="preserve"> </w:t>
            </w:r>
          </w:p>
          <w:p w:rsidR="00E02A3F" w:rsidP="00E02A3F">
            <w:pPr>
              <w:pStyle w:val="Heading2"/>
              <w:outlineLvl w:val="1"/>
            </w:pPr>
            <w:r>
              <w:t xml:space="preserve">Você é uma organização que pode exercer tal função?</w:t>
            </w:r>
          </w:p>
          <w:p w:rsidR="00E02A3F" w:rsidP="00E02A3F">
            <w:pPr>
              <w:pStyle w:val="Heading1"/>
              <w:outlineLvl w:val="0"/>
            </w:pPr>
            <w:r>
              <w:t xml:space="preserve">INFORMAÇÕES NECESSÁRIAS</w:t>
            </w:r>
          </w:p>
          <w:p w:rsidR="00E02A3F" w:rsidP="00E02A3F">
            <w:pPr>
              <w:pStyle w:val="Heading2"/>
              <w:outlineLvl w:val="1"/>
            </w:pPr>
            <w:r>
              <w:t xml:space="preserve">Seria possível ou desejável incluir exemplos específicos do tipo de provas que devem ser fornecidas?</w:t>
            </w:r>
          </w:p>
          <w:p w:rsidR="00E02A3F" w:rsidP="00E02A3F">
            <w:pPr>
              <w:pStyle w:val="Heading2"/>
              <w:outlineLvl w:val="1"/>
            </w:pPr>
            <w:r>
              <w:t xml:space="preserve">Qual embasamento a Bonsucro poderia fornecer aos Reclamantes para garantir que todas as Informações Necessárias sejam apresentadas, por exemplo, em acréscimo ao Grupo de Apoio ao Mecanismo de Queixa sugerido acima?</w:t>
            </w:r>
          </w:p>
          <w:p w:rsidR="00B847D8" w:rsidRPr="00712DBD" w:rsidP="00712DBD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Anonimato (Regra de Procedimento, 4.2)</w:t>
            </w:r>
          </w:p>
          <w:p w:rsidR="00E02A3F" w:rsidP="00E02A3F">
            <w:pPr>
              <w:pStyle w:val="Heading2"/>
              <w:outlineLvl w:val="1"/>
            </w:pPr>
            <w:r>
              <w:t xml:space="preserve">Como as queixas em que o anonimato é necessário devem ser tratadas, especificamente em termos de equilibrar a proteção dos reclamantes com a garantia de que as alegações sejam devidamente entendidas pelo Membro Reclamado e a remediação seja clara e possível?</w:t>
            </w:r>
          </w:p>
          <w:p w:rsidR="00E02A3F" w:rsidP="00712DBD">
            <w:pPr>
              <w:pStyle w:val="Heading1"/>
              <w:numPr>
                <w:ilvl w:val="0"/>
                <w:numId w:val="37"/>
              </w:numPr>
              <w:outlineLvl w:val="0"/>
            </w:pPr>
            <w:r>
              <w:t xml:space="preserve">APRESENTAÇÃO ADEQUADA</w:t>
            </w:r>
          </w:p>
          <w:p w:rsidR="009A0191" w:rsidRPr="009A0191" w:rsidP="009A0191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Limite de páginas de provas (Regra de Procedimento, 6.2)</w:t>
            </w:r>
          </w:p>
          <w:p w:rsidR="00E02A3F" w:rsidP="00E02A3F">
            <w:pPr>
              <w:pStyle w:val="Heading2"/>
              <w:outlineLvl w:val="1"/>
            </w:pPr>
            <w:r>
              <w:t xml:space="preserve">200 páginas é adequado para permitir que a queixa ou resposta (e todo o material de apoio) seja produzida?</w:t>
            </w:r>
          </w:p>
          <w:p w:rsidR="00E02A3F" w:rsidP="00E02A3F">
            <w:pPr>
              <w:pStyle w:val="Heading1"/>
              <w:outlineLvl w:val="0"/>
            </w:pPr>
            <w:r>
              <w:t xml:space="preserve">AVALIAÇÃO DE ESCOPO INICIAL</w:t>
            </w:r>
            <w:r>
              <w:t xml:space="preserve"> </w:t>
            </w:r>
          </w:p>
          <w:p w:rsidR="009A0191" w:rsidRPr="009A0191" w:rsidP="009A0191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Queixas contra Membros Certificados (Regras de Procedimento, 7.8 a 7.14)</w:t>
            </w:r>
          </w:p>
          <w:p w:rsidR="00E02A3F" w:rsidP="00E02A3F">
            <w:pPr>
              <w:pStyle w:val="Heading2"/>
              <w:outlineLvl w:val="1"/>
            </w:pPr>
            <w:r>
              <w:t xml:space="preserve">Em relação a queixas contra Membros Certificados, existem questões decorrentes do compartilhamento de dados de certificação relevantes com terceiros especificados, ou seja, o tomador de decisão externo, o mediador e os reclamantes?</w:t>
            </w:r>
          </w:p>
          <w:p w:rsidR="009A0191" w:rsidP="009A0191">
            <w:pPr>
              <w:pStyle w:val="Heading2"/>
              <w:outlineLvl w:val="1"/>
            </w:pPr>
            <w:r>
              <w:t xml:space="preserve">Caso um Membro Reclamado esteja no processo de obtenção de certificação, qual opção é preferível: uma suspensão no processo de certificação para permitir que o processo de mediação progrida OU uma suspensão no processo do Mecanismo de Queixa para permitir a conclusão do processo de certificação?</w:t>
            </w:r>
            <w:r>
              <w:t xml:space="preserve"> </w:t>
            </w:r>
          </w:p>
          <w:p w:rsidR="00E02A3F" w:rsidRPr="009A0191" w:rsidP="00E02A3F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Tentativas de apresentação (Regra de Procedimento, 7.6)</w:t>
            </w:r>
          </w:p>
          <w:p w:rsidR="00757DDD" w:rsidP="00757DDD">
            <w:pPr>
              <w:pStyle w:val="Heading2"/>
              <w:outlineLvl w:val="1"/>
            </w:pPr>
            <w:r>
              <w:t xml:space="preserve">O que é um limite razoável para tentativas de apresentação?</w:t>
            </w:r>
            <w:r>
              <w:t xml:space="preserve"> </w:t>
            </w:r>
            <w:r>
              <w:t xml:space="preserve">Como equilibramos a acessibilidade com a previsibilidade e a garantia de que queixas possam ser tratadas de modo eficaz?</w:t>
            </w:r>
          </w:p>
          <w:p w:rsidR="009A0191" w:rsidRPr="00757DDD" w:rsidP="00757DDD">
            <w:pPr>
              <w:pStyle w:val="Heading1"/>
              <w:numPr>
                <w:ilvl w:val="0"/>
                <w:numId w:val="39"/>
              </w:numPr>
              <w:outlineLvl w:val="0"/>
            </w:pPr>
            <w:r>
              <w:t xml:space="preserve">Mediação</w:t>
            </w:r>
            <w:r>
              <w:t xml:space="preserve"> 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"Mediação" é um termo aceitável?</w:t>
            </w:r>
            <w:r>
              <w:t xml:space="preserve"> </w:t>
            </w:r>
            <w:r>
              <w:t xml:space="preserve">Caso contrário, que terminologia alternativa poderia ser usada para descrever esse processo?</w:t>
            </w:r>
            <w:r>
              <w:t xml:space="preserve"> </w:t>
            </w:r>
            <w:r>
              <w:t xml:space="preserve">(Por exemplo, "negociação facilitada".)</w:t>
            </w:r>
          </w:p>
          <w:p w:rsidR="00E02A3F" w:rsidRPr="00E02A3F" w:rsidP="00AE5E97">
            <w:pPr>
              <w:pStyle w:val="Heading2"/>
              <w:outlineLvl w:val="1"/>
            </w:pPr>
            <w:r>
              <w:t xml:space="preserve">Como o processo de mediação deve ser financiado?</w:t>
            </w:r>
            <w:r>
              <w:t xml:space="preserve"> </w:t>
            </w:r>
            <w:r>
              <w:t xml:space="preserve">Existem organizações que podem se dispor a fornecer financiamento para permitir acesso à mediação ou a financiar este Mecanismo de Queixa?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O Contrato de Mediação Modelo do CEDR é o contrato mais apropriado?</w:t>
            </w:r>
            <w:r>
              <w:t xml:space="preserve"> </w:t>
            </w:r>
            <w:r>
              <w:t xml:space="preserve">Por favor, sugira alterativas e por que essas alterativas são mais adequadas?</w:t>
            </w:r>
          </w:p>
          <w:p w:rsidR="00E02A3F" w:rsidP="00E02A3F">
            <w:pPr>
              <w:pStyle w:val="Heading2"/>
              <w:outlineLvl w:val="1"/>
            </w:pPr>
            <w:r>
              <w:t xml:space="preserve">Você recomenda, ou pode recomendar, um mediador que seria apropriado para facilitar a negociação de disputas no âmbito deste Mecanismo de Queixa?</w:t>
            </w:r>
            <w:r>
              <w:t xml:space="preserve"> </w:t>
            </w:r>
            <w:r>
              <w:t xml:space="preserve">Por favor, apresente um CV, incluindo detalhes de experiências relevantes.</w:t>
            </w:r>
          </w:p>
          <w:p w:rsidR="00E02A3F" w:rsidP="009A0191">
            <w:pPr>
              <w:pStyle w:val="Heading1"/>
              <w:numPr>
                <w:ilvl w:val="0"/>
                <w:numId w:val="38"/>
              </w:numPr>
              <w:outlineLvl w:val="0"/>
            </w:pPr>
            <w:r>
              <w:t xml:space="preserve">NENHUMA RESOLUÇÃO ACORDADA</w:t>
            </w:r>
          </w:p>
          <w:p w:rsidR="009A0191" w:rsidRPr="009A0191" w:rsidP="009A0191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/>
              </w:rPr>
            </w:pPr>
            <w:r>
              <w:rPr>
                <w:b/>
              </w:rPr>
              <w:t xml:space="preserve">Investigações (Regras de Procedimento 11.1 a 11.3)</w:t>
            </w:r>
          </w:p>
          <w:p w:rsidR="00E02A3F" w:rsidP="00E02A3F">
            <w:pPr>
              <w:pStyle w:val="Heading2"/>
              <w:outlineLvl w:val="1"/>
            </w:pPr>
            <w:r>
              <w:t xml:space="preserve">Quais situações poderiam exigir investigação das alegações de fato?</w:t>
            </w:r>
          </w:p>
          <w:p w:rsidR="00E02A3F" w:rsidP="00E02A3F">
            <w:pPr>
              <w:pStyle w:val="Heading2"/>
              <w:outlineLvl w:val="1"/>
            </w:pPr>
            <w:r>
              <w:t xml:space="preserve">Quem deveria realizar investigações?</w:t>
            </w:r>
          </w:p>
          <w:p w:rsidR="00E02A3F" w:rsidP="00E02A3F">
            <w:pPr>
              <w:pStyle w:val="Heading2"/>
              <w:outlineLvl w:val="1"/>
            </w:pPr>
            <w:r>
              <w:t xml:space="preserve">Como essas investigações, ou outros peritos técnicos envolvidos nessa finalidade, deveriam ser financiados?</w:t>
            </w:r>
          </w:p>
          <w:p w:rsidR="009A0191" w:rsidP="00712DBD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rPr>
                <w:b/>
              </w:rPr>
              <w:t xml:space="preserve">Condições sobre a continuação da filiação (Regras de Procedimento 11.5 a 11.6)</w:t>
            </w:r>
          </w:p>
          <w:p w:rsidR="00E02A3F" w:rsidP="00E02A3F">
            <w:pPr>
              <w:pStyle w:val="Heading2"/>
              <w:outlineLvl w:val="1"/>
            </w:pPr>
            <w:r>
              <w:t xml:space="preserve">Quais são alguns exemplos de condições que poderiam ser impostas sobre a continuação da filiação ou a nova filiação para apoiar o princípio de aperfeiçoamento contínuo e resultados positivos para as comunidades?</w:t>
            </w:r>
          </w:p>
          <w:p w:rsidR="009A0191" w:rsidP="00E02A3F">
            <w:pPr>
              <w:pStyle w:val="Heading2"/>
              <w:outlineLvl w:val="1"/>
            </w:pPr>
            <w:r>
              <w:t xml:space="preserve">Quais recursos podem ser fornecidos para ajudar a Bonsucro a monitorar recomendações e/ou planos de ação?</w:t>
            </w:r>
          </w:p>
          <w:p w:rsidR="00E02A3F" w:rsidP="00E02A3F">
            <w:pPr>
              <w:pStyle w:val="Heading1"/>
              <w:outlineLvl w:val="0"/>
            </w:pPr>
            <w:r>
              <w:t xml:space="preserve">PROCEDIMENTO DE REVISÃO</w:t>
            </w:r>
          </w:p>
          <w:p w:rsidR="00E02A3F" w:rsidP="00E02A3F">
            <w:pPr>
              <w:pStyle w:val="Heading2"/>
              <w:outlineLvl w:val="1"/>
            </w:pPr>
            <w:r>
              <w:t xml:space="preserve">Quem deve financiar o processo quando uma revisão for requerida?</w:t>
            </w:r>
          </w:p>
          <w:p w:rsidR="00E02A3F" w:rsidP="00E02A3F">
            <w:pPr>
              <w:pStyle w:val="Heading1"/>
              <w:outlineLvl w:val="0"/>
            </w:pPr>
            <w:r>
              <w:t xml:space="preserve">CONFIDENTIALIDADE</w:t>
            </w:r>
            <w:r>
              <w:t xml:space="preserve"> </w:t>
            </w:r>
          </w:p>
          <w:p w:rsidR="00E02A3F" w:rsidP="00E02A3F">
            <w:pPr>
              <w:pStyle w:val="Heading2"/>
              <w:outlineLvl w:val="1"/>
            </w:pPr>
            <w:r>
              <w:t xml:space="preserve">Como a confidencialidade e a transparência podem levar em conta os riscos aos interessados afetados, aos funcionários ou a necessidades legítimas de confidencialidade comercial?</w:t>
            </w:r>
          </w:p>
          <w:p w:rsidR="00E02A3F" w:rsidP="00E02A3F">
            <w:pPr>
              <w:pStyle w:val="Heading1"/>
              <w:outlineLvl w:val="0"/>
            </w:pPr>
            <w:r>
              <w:t xml:space="preserve">REVISÃO DO MECANISMO DE QUEIXA</w:t>
            </w:r>
            <w:r>
              <w:t xml:space="preserve"> </w:t>
            </w:r>
          </w:p>
          <w:p w:rsidR="00E02A3F" w:rsidRPr="00E02A3F" w:rsidP="00E02A3F">
            <w:pPr>
              <w:pStyle w:val="Heading2"/>
              <w:outlineLvl w:val="1"/>
            </w:pPr>
            <w:r>
              <w:t xml:space="preserve">Quais KPIs podem ser usados para mensurar a eficácia do Mecanismo de Queixa?</w:t>
            </w:r>
          </w:p>
        </w:tc>
      </w:tr>
    </w:tbl>
    <w:p w:rsidR="00285B60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440" w:bottom="180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285B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B60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090"/>
      </w:tabs>
      <w:rPr>
        <w:rStyle w:val="PageNumber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B60">
    <w:pPr>
      <w:pStyle w:val="Footer"/>
      <w:pBdr>
        <w:top w:val="single" w:sz="6" w:space="1" w:color="auto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1E0"/>
    </w:tblPr>
    <w:tblGrid>
      <w:gridCol w:w="4513"/>
      <w:gridCol w:w="4514"/>
    </w:tblGrid>
    <w:tr>
      <w:tblPrEx>
        <w:tblW w:w="5000" w:type="pct"/>
        <w:tblCellMar>
          <w:left w:w="0" w:type="dxa"/>
          <w:right w:w="0" w:type="dxa"/>
        </w:tblCellMar>
        <w:tblLook w:val="01E0"/>
      </w:tblPrEx>
      <w:tc>
        <w:tcPr>
          <w:tcW w:w="2500" w:type="pct"/>
          <w:shd w:val="clear" w:color="auto" w:fill="auto"/>
        </w:tcPr>
        <w:sdt>
          <w:sdtPr>
            <w:rPr>
              <w:rFonts w:ascii="Arial" w:hAnsi="Arial"/>
              <w:sz w:val="14"/>
              <w:szCs w:val="24"/>
            </w:rPr>
            <w:id w:val="207149012"/>
            <w:docPartObj>
              <w:docPartGallery w:val="Watermarks"/>
              <w:docPartUnique/>
            </w:docPartObj>
          </w:sdtPr>
          <w:sdtContent>
            <w:p w:rsidR="00285B60">
              <w:pPr>
                <w:spacing w:after="0" w:line="240" w:lineRule="auto"/>
                <w:rPr>
                  <w:sz w:val="14"/>
                  <w:szCs w:val="24"/>
                  <w:rFonts w:ascii="Arial" w:hAnsi="Arial"/>
                </w:rPr>
              </w:pPr>
              <w:bookmarkStart w:id="0" w:name="bmFirmLogo"/>
              <w:bookmarkEnd w:id="0"/>
              <w:r>
                <w:rPr>
                  <w:sz w:val="14"/>
                  <w:szCs w:val="24"/>
                  <w:rFonts w:ascii="Arial" w:hAnsi="Arial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9" type="#_x0000_t136" style="height:247.45pt;margin-left:0;margin-top:0;mso-position-horizontal:center;mso-position-horizontal-relative:margin;mso-position-vertical:center;mso-position-vertical-relative:margin;position:absolute;rotation:315;width:412.4pt;z-index:-251658240" o:allowincell="f" fillcolor="silver" stroked="f">
                    <v:fill opacity="0.5"/>
                    <v:textpath style="font-family:&quot;Calibri&quot;;font-size:1pt" string="ESBOÇO"/>
                    <w10:wrap anchorx="margin" anchory="margin"/>
                  </v:shape>
                </w:pict>
              </w:r>
            </w:p>
          </w:sdtContent>
        </w:sdt>
      </w:tc>
      <w:tc>
        <w:tcPr>
          <w:tcW w:w="2500" w:type="pct"/>
          <w:shd w:val="clear" w:color="auto" w:fill="auto"/>
        </w:tcPr>
        <w:p w:rsidR="00285B60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</w:pPr>
          <w:bookmarkStart w:id="2" w:name="bmLegallyPrivileged"/>
          <w:bookmarkEnd w:id="2"/>
        </w:p>
        <w:p w:rsidR="00285B60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</w:pPr>
          <w:bookmarkStart w:id="3" w:name="bmStrictlyPrivateLine"/>
          <w:bookmarkEnd w:id="3"/>
          <w:r>
            <w:t xml:space="preserve"> </w:t>
          </w:r>
        </w:p>
        <w:p w:rsidR="00285B60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  <w:rPr>
              <w:rFonts w:ascii="Arial" w:hAnsi="Arial"/>
              <w:b/>
              <w:sz w:val="14"/>
              <w:szCs w:val="24"/>
              <w:lang w:eastAsia="en-GB"/>
            </w:rPr>
          </w:pPr>
        </w:p>
      </w:tc>
    </w:tr>
  </w:tbl>
  <w:p w:rsidR="00285B60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6A856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663A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A6F7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8832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0D6E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723DB5"/>
    <w:multiLevelType w:val="multilevel"/>
    <w:tmpl w:val="DECCE6B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6">
    <w:nsid w:val="08DA410F"/>
    <w:multiLevelType w:val="multilevel"/>
    <w:tmpl w:val="14B6DBAE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DB911A3"/>
    <w:multiLevelType w:val="hybridMultilevel"/>
    <w:tmpl w:val="E608518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475EC"/>
    <w:multiLevelType w:val="hybridMultilevel"/>
    <w:tmpl w:val="64FC8B7A"/>
    <w:name w:val="Plato Heading List2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960892"/>
    <w:multiLevelType w:val="hybridMultilevel"/>
    <w:tmpl w:val="A2D414D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67386"/>
    <w:multiLevelType w:val="hybridMultilevel"/>
    <w:tmpl w:val="A49C754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2C75"/>
    <w:multiLevelType w:val="hybridMultilevel"/>
    <w:tmpl w:val="A2D414D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904B1"/>
    <w:multiLevelType w:val="multilevel"/>
    <w:tmpl w:val="AC08368E"/>
    <w:lvl w:ilvl="0">
      <w:start w:val="1"/>
      <w:numFmt w:val="decimal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3">
    <w:nsid w:val="2103226E"/>
    <w:multiLevelType w:val="hybridMultilevel"/>
    <w:tmpl w:val="6E60EEA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315ED"/>
    <w:multiLevelType w:val="hybridMultilevel"/>
    <w:tmpl w:val="C67654B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83D1F"/>
    <w:multiLevelType w:val="multilevel"/>
    <w:tmpl w:val="6986D92C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bullet"/>
      <w:pStyle w:val="ListBullet9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6">
    <w:nsid w:val="2FD942BB"/>
    <w:multiLevelType w:val="multilevel"/>
    <w:tmpl w:val="4310422A"/>
    <w:name w:val="SchHead Numbering List"/>
    <w:lvl w:ilvl="0">
      <w:start w:val="1"/>
      <w:numFmt w:val="decimal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 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9EF3A17"/>
    <w:multiLevelType w:val="multilevel"/>
    <w:tmpl w:val="0BBCA01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8">
    <w:nsid w:val="3AC5684B"/>
    <w:multiLevelType w:val="hybridMultilevel"/>
    <w:tmpl w:val="E608518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F48D0"/>
    <w:multiLevelType w:val="multilevel"/>
    <w:tmpl w:val="D0781D7E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decimal"/>
      <w:pStyle w:val="ScheduleL6"/>
      <w:lvlText w:val="(%6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6">
      <w:start w:val="1"/>
      <w:numFmt w:val="lowerLetter"/>
      <w:pStyle w:val="ScheduleL7"/>
      <w:lvlText w:val="(%7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7">
      <w:start w:val="1"/>
      <w:numFmt w:val="none"/>
      <w:pStyle w:val="ScheduleL8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none"/>
      <w:pStyle w:val="ScheduleL9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20">
    <w:nsid w:val="3F9F7593"/>
    <w:multiLevelType w:val="hybridMultilevel"/>
    <w:tmpl w:val="A49C754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1637"/>
    <w:multiLevelType w:val="hybridMultilevel"/>
    <w:tmpl w:val="E608518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74077"/>
    <w:multiLevelType w:val="hybridMultilevel"/>
    <w:tmpl w:val="F6F4A98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C7FD2"/>
    <w:multiLevelType w:val="multilevel"/>
    <w:tmpl w:val="02AE15AE"/>
    <w:name w:val="Definition Numbering List"/>
    <w:lvl w:ilvl="0">
      <w:start w:val="1"/>
      <w:numFmt w:val="none"/>
      <w:pStyle w:val="BodyTextIndent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pStyle w:val="BodyTextIndent2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none"/>
      <w:pStyle w:val="DefinitionNumbering4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6">
      <w:start w:val="1"/>
      <w:numFmt w:val="none"/>
      <w:pStyle w:val="DefinitionNumbering5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7">
      <w:start w:val="1"/>
      <w:numFmt w:val="none"/>
      <w:pStyle w:val="DefinitionNumbering6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8">
      <w:start w:val="1"/>
      <w:numFmt w:val="none"/>
      <w:pStyle w:val="DefinitionNumbering7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</w:abstractNum>
  <w:abstractNum w:abstractNumId="24">
    <w:nsid w:val="55BE2443"/>
    <w:multiLevelType w:val="hybridMultilevel"/>
    <w:tmpl w:val="CE2889E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B2B0D"/>
    <w:multiLevelType w:val="hybridMultilevel"/>
    <w:tmpl w:val="E608518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26032"/>
    <w:multiLevelType w:val="hybridMultilevel"/>
    <w:tmpl w:val="C67654B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82068"/>
    <w:multiLevelType w:val="multilevel"/>
    <w:tmpl w:val="4D88B4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caps w:val="0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28">
    <w:nsid w:val="6815379B"/>
    <w:multiLevelType w:val="multilevel"/>
    <w:tmpl w:val="A7CE3072"/>
    <w:name w:val="Appendicies Heading List"/>
    <w:lvl w:ilvl="0">
      <w:start w:val="1"/>
      <w:numFmt w:val="decimal"/>
      <w:pStyle w:val="AppHead"/>
      <w:suff w:val="space"/>
      <w:lvlText w:val="APPENDIX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9">
    <w:nsid w:val="6ADE068D"/>
    <w:multiLevelType w:val="hybridMultilevel"/>
    <w:tmpl w:val="9E98C88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E7910"/>
    <w:multiLevelType w:val="hybridMultilevel"/>
    <w:tmpl w:val="42B218A0"/>
    <w:lvl w:ilvl="0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16"/>
  </w:num>
  <w:num w:numId="5">
    <w:abstractNumId w:val="28"/>
  </w:num>
  <w:num w:numId="6">
    <w:abstractNumId w:val="23"/>
  </w:num>
  <w:num w:numId="7">
    <w:abstractNumId w:val="19"/>
  </w:num>
  <w:num w:numId="8">
    <w:abstractNumId w:val="15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3"/>
  </w:num>
  <w:num w:numId="25">
    <w:abstractNumId w:val="11"/>
  </w:num>
  <w:num w:numId="26">
    <w:abstractNumId w:val="9"/>
  </w:num>
  <w:num w:numId="27">
    <w:abstractNumId w:val="29"/>
  </w:num>
  <w:num w:numId="28">
    <w:abstractNumId w:val="7"/>
  </w:num>
  <w:num w:numId="29">
    <w:abstractNumId w:val="18"/>
  </w:num>
  <w:num w:numId="30">
    <w:abstractNumId w:val="22"/>
  </w:num>
  <w:num w:numId="31">
    <w:abstractNumId w:val="21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  <w:num w:numId="36">
    <w:abstractNumId w:val="24"/>
  </w:num>
  <w:num w:numId="3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dirty"/>
  <w:stylePaneFormatFilter w:val="3804" w:allStyles="0" w:alternateStyleNames="0" w:clearFormatting="1" w:customStyles="0" w:directFormattingOnNumbering="0" w:directFormattingOnParagraphs="0" w:directFormattingOnRuns="0" w:directFormattingOnTables="1" w:headingStyles="0" w:latentStyles="1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de-AT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pt-BR" w:eastAsia="en-US"/>
    </w:rPr>
  </w:style>
  <w:style w:type="paragraph" w:styleId="Heading1">
    <w:name w:val="heading 1"/>
    <w:basedOn w:val="HouseStyleBase"/>
    <w:qFormat/>
    <w:pPr>
      <w:keepNext/>
      <w:numPr>
        <w:numId w:val="3"/>
      </w:numPr>
      <w:outlineLvl w:val="0"/>
    </w:pPr>
    <w:rPr>
      <w:b/>
      <w:bCs/>
      <w:caps/>
    </w:rPr>
  </w:style>
  <w:style w:type="paragraph" w:styleId="Heading2">
    <w:name w:val="heading 2"/>
    <w:basedOn w:val="HouseStyleBase"/>
    <w:link w:val="Heading2Char"/>
    <w:qFormat/>
    <w:pPr>
      <w:numPr>
        <w:ilvl w:val="1"/>
        <w:numId w:val="3"/>
      </w:numPr>
      <w:outlineLvl w:val="1"/>
    </w:pPr>
  </w:style>
  <w:style w:type="paragraph" w:styleId="Heading3">
    <w:name w:val="heading 3"/>
    <w:basedOn w:val="HouseStyleBase"/>
    <w:qFormat/>
    <w:pPr>
      <w:numPr>
        <w:ilvl w:val="2"/>
        <w:numId w:val="3"/>
      </w:numPr>
      <w:outlineLvl w:val="2"/>
    </w:pPr>
  </w:style>
  <w:style w:type="paragraph" w:styleId="Heading4">
    <w:name w:val="heading 4"/>
    <w:basedOn w:val="HouseStyleBase"/>
    <w:qFormat/>
    <w:pPr>
      <w:numPr>
        <w:ilvl w:val="3"/>
        <w:numId w:val="3"/>
      </w:numPr>
      <w:outlineLvl w:val="3"/>
    </w:pPr>
  </w:style>
  <w:style w:type="paragraph" w:styleId="Heading5">
    <w:name w:val="heading 5"/>
    <w:basedOn w:val="HouseStyleBase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qFormat/>
    <w:pPr>
      <w:numPr>
        <w:numId w:val="6"/>
      </w:numPr>
    </w:pPr>
  </w:style>
  <w:style w:type="paragraph" w:styleId="BodyTextIndent2">
    <w:name w:val="Body Text Indent 2"/>
    <w:basedOn w:val="HouseStyleBase"/>
    <w:qFormat/>
    <w:pPr>
      <w:numPr>
        <w:ilvl w:val="1"/>
        <w:numId w:val="6"/>
      </w:numPr>
    </w:pPr>
  </w:style>
  <w:style w:type="paragraph" w:styleId="BodyTextIndent3">
    <w:name w:val="Body Text Indent 3"/>
    <w:basedOn w:val="HouseStyleBase"/>
    <w:qFormat/>
    <w:pPr>
      <w:ind w:left="1440"/>
    </w:pPr>
  </w:style>
  <w:style w:type="paragraph" w:customStyle="1" w:styleId="BodyTextIndent4">
    <w:name w:val="Body Text Indent 4"/>
    <w:basedOn w:val="HouseStyleBase"/>
    <w:qFormat/>
    <w:pPr>
      <w:ind w:left="2160"/>
    </w:pPr>
  </w:style>
  <w:style w:type="paragraph" w:customStyle="1" w:styleId="BodyTextIndent5">
    <w:name w:val="Body Text Indent 5"/>
    <w:basedOn w:val="HouseStyleBase"/>
    <w:qFormat/>
    <w:pPr>
      <w:ind w:left="2880"/>
    </w:pPr>
  </w:style>
  <w:style w:type="paragraph" w:customStyle="1" w:styleId="MarginText">
    <w:name w:val="Margin Text"/>
    <w:basedOn w:val="HouseStyleBase"/>
    <w:link w:val="MarginTextChar"/>
  </w:style>
  <w:style w:type="paragraph" w:styleId="BodyText">
    <w:name w:val="Body Text"/>
    <w:basedOn w:val="Normal"/>
    <w:link w:val="BodyTextChar"/>
    <w:pPr>
      <w:spacing w:after="12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qFormat/>
    <w:pPr>
      <w:ind w:left="3600"/>
    </w:pPr>
  </w:style>
  <w:style w:type="paragraph" w:customStyle="1" w:styleId="BodyTextIndent7">
    <w:name w:val="Body Text Indent 7"/>
    <w:basedOn w:val="HouseStyleBase"/>
    <w:qFormat/>
    <w:pPr>
      <w:ind w:left="4320"/>
    </w:pPr>
  </w:style>
  <w:style w:type="paragraph" w:customStyle="1" w:styleId="SchHead">
    <w:name w:val="SchHead"/>
    <w:basedOn w:val="HouseStyleBaseCentred"/>
    <w:next w:val="SchPart"/>
    <w:qFormat/>
    <w:pPr>
      <w:keepNext/>
      <w:numPr>
        <w:numId w:val="4"/>
      </w:numPr>
      <w:jc w:val="center"/>
      <w:outlineLvl w:val="0"/>
    </w:pPr>
    <w:rPr>
      <w:b/>
      <w:caps/>
    </w:rPr>
  </w:style>
  <w:style w:type="paragraph" w:customStyle="1" w:styleId="SchSection">
    <w:name w:val="SchSection"/>
    <w:basedOn w:val="HouseStyleBaseCentred"/>
    <w:next w:val="MarginText"/>
    <w:qFormat/>
    <w:pPr>
      <w:keepNext/>
      <w:numPr>
        <w:ilvl w:val="2"/>
        <w:numId w:val="4"/>
      </w:numPr>
      <w:jc w:val="center"/>
      <w:outlineLvl w:val="2"/>
    </w:pPr>
    <w:rPr>
      <w:b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8"/>
      </w:numPr>
    </w:pPr>
  </w:style>
  <w:style w:type="paragraph" w:customStyle="1" w:styleId="ScheduleNumbering">
    <w:name w:val="Schedule Numbering"/>
    <w:basedOn w:val="Normal"/>
    <w:pPr>
      <w:numPr>
        <w:numId w:val="1"/>
      </w:numPr>
      <w:overflowPunct/>
      <w:autoSpaceDE/>
      <w:autoSpaceDN/>
      <w:adjustRightInd/>
      <w:textAlignment w:val="auto"/>
    </w:pPr>
    <w:rPr>
      <w:rFonts w:eastAsia="SimSun"/>
      <w:szCs w:val="22"/>
      <w:lang w:eastAsia="zh-CN"/>
    </w:rPr>
  </w:style>
  <w:style w:type="numbering" w:styleId="111111">
    <w:name w:val="Outline List 2"/>
    <w:basedOn w:val="NoList"/>
    <w:pPr>
      <w:numPr>
        <w:numId w:val="2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pt-BR"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pt-BR"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pt-BR"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pt-BR"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pt-BR"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pt-BR"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pt-BR" w:eastAsia="zh-CN"/>
    </w:r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val="pt-BR"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pt-BR"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pt-BR"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val="pt-BR" w:eastAsia="zh-CN"/>
    </w:rPr>
  </w:style>
  <w:style w:type="paragraph" w:customStyle="1" w:styleId="SchPart">
    <w:name w:val="SchPart"/>
    <w:basedOn w:val="HouseStyleBaseCentred"/>
    <w:next w:val="MarginText"/>
    <w:qFormat/>
    <w:pPr>
      <w:keepNext/>
      <w:numPr>
        <w:ilvl w:val="1"/>
        <w:numId w:val="4"/>
      </w:numPr>
      <w:jc w:val="center"/>
      <w:outlineLvl w:val="1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qFormat/>
    <w:pPr>
      <w:spacing w:after="0"/>
    </w:pPr>
  </w:style>
  <w:style w:type="paragraph" w:customStyle="1" w:styleId="Table-Text">
    <w:name w:val="Table - Text"/>
    <w:basedOn w:val="HouseStyleBase"/>
    <w:qFormat/>
    <w:pPr>
      <w:spacing w:before="120" w:after="120"/>
      <w:jc w:val="left"/>
    </w:pPr>
  </w:style>
  <w:style w:type="paragraph" w:customStyle="1" w:styleId="Heading">
    <w:name w:val="Heading"/>
    <w:basedOn w:val="HouseStyleBaseCentred"/>
    <w:next w:val="MarginText"/>
    <w:qFormat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qFormat/>
    <w:pPr>
      <w:numPr>
        <w:numId w:val="5"/>
      </w:numPr>
      <w:jc w:val="center"/>
      <w:outlineLvl w:val="0"/>
    </w:pPr>
    <w:rPr>
      <w:b/>
      <w:caps/>
    </w:rPr>
  </w:style>
  <w:style w:type="paragraph" w:customStyle="1" w:styleId="AppPart">
    <w:name w:val="AppPart"/>
    <w:basedOn w:val="HouseStyleBaseCentred"/>
    <w:qFormat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RecitalNumbering">
    <w:name w:val="Recital Numbering"/>
    <w:basedOn w:val="HouseStyleBase"/>
    <w:qFormat/>
    <w:pPr>
      <w:numPr>
        <w:numId w:val="10"/>
      </w:numPr>
      <w:outlineLvl w:val="0"/>
    </w:pPr>
  </w:style>
  <w:style w:type="paragraph" w:customStyle="1" w:styleId="RecitalNumbering2">
    <w:name w:val="Recital Numbering 2"/>
    <w:basedOn w:val="HouseStyleBase"/>
    <w:qFormat/>
    <w:pPr>
      <w:numPr>
        <w:ilvl w:val="1"/>
        <w:numId w:val="10"/>
      </w:numPr>
      <w:outlineLvl w:val="1"/>
    </w:pPr>
  </w:style>
  <w:style w:type="paragraph" w:customStyle="1" w:styleId="DefinitionNumbering1">
    <w:name w:val="Definition Numbering 1"/>
    <w:basedOn w:val="HouseStyleBase"/>
    <w:qFormat/>
    <w:pPr>
      <w:numPr>
        <w:ilvl w:val="2"/>
        <w:numId w:val="6"/>
      </w:numPr>
      <w:outlineLvl w:val="0"/>
    </w:pPr>
  </w:style>
  <w:style w:type="paragraph" w:customStyle="1" w:styleId="DefinitionNumbering2">
    <w:name w:val="Definition Numbering 2"/>
    <w:basedOn w:val="HouseStyleBase"/>
    <w:qFormat/>
    <w:pPr>
      <w:numPr>
        <w:ilvl w:val="3"/>
        <w:numId w:val="6"/>
      </w:numPr>
      <w:outlineLvl w:val="1"/>
    </w:pPr>
  </w:style>
  <w:style w:type="paragraph" w:customStyle="1" w:styleId="DefinitionNumbering3">
    <w:name w:val="Definition Numbering 3"/>
    <w:basedOn w:val="HouseStyleBase"/>
    <w:qFormat/>
    <w:pPr>
      <w:numPr>
        <w:ilvl w:val="4"/>
        <w:numId w:val="6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6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6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6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6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9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9"/>
      </w:numPr>
      <w:outlineLvl w:val="8"/>
    </w:pPr>
  </w:style>
  <w:style w:type="paragraph" w:customStyle="1" w:styleId="RecitalNumbering3">
    <w:name w:val="Recital Numbering 3"/>
    <w:basedOn w:val="HouseStyleBase"/>
    <w:qFormat/>
    <w:pPr>
      <w:numPr>
        <w:ilvl w:val="2"/>
        <w:numId w:val="10"/>
      </w:numPr>
      <w:outlineLvl w:val="2"/>
    </w:p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cap="rnd">
        <w14:noFill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cap="rnd">
        <w14:noFill/>
        <w14:bevel/>
      </w14:textOutline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HouseStyleBase"/>
    <w:pPr>
      <w:numPr>
        <w:numId w:val="8"/>
      </w:numPr>
    </w:pPr>
  </w:style>
  <w:style w:type="paragraph" w:styleId="ListBullet3">
    <w:name w:val="List Bullet 3"/>
    <w:basedOn w:val="HouseStyleBase"/>
    <w:pPr>
      <w:numPr>
        <w:ilvl w:val="2"/>
        <w:numId w:val="8"/>
      </w:numPr>
    </w:pPr>
  </w:style>
  <w:style w:type="paragraph" w:styleId="ListBullet4">
    <w:name w:val="List Bullet 4"/>
    <w:basedOn w:val="HouseStyleBase"/>
    <w:pPr>
      <w:numPr>
        <w:ilvl w:val="3"/>
        <w:numId w:val="8"/>
      </w:numPr>
    </w:pPr>
  </w:style>
  <w:style w:type="paragraph" w:styleId="ListBullet5">
    <w:name w:val="List Bullet 5"/>
    <w:basedOn w:val="HouseStyleBase"/>
    <w:pPr>
      <w:numPr>
        <w:ilvl w:val="4"/>
        <w:numId w:val="8"/>
      </w:numPr>
    </w:pPr>
  </w:style>
  <w:style w:type="paragraph" w:customStyle="1" w:styleId="ListBullet6">
    <w:name w:val="List Bullet 6"/>
    <w:basedOn w:val="HouseStyleBase"/>
    <w:pPr>
      <w:numPr>
        <w:ilvl w:val="5"/>
        <w:numId w:val="8"/>
      </w:numPr>
    </w:pPr>
  </w:style>
  <w:style w:type="paragraph" w:customStyle="1" w:styleId="ListBullet7">
    <w:name w:val="List Bullet 7"/>
    <w:basedOn w:val="HouseStyleBase"/>
    <w:pPr>
      <w:numPr>
        <w:ilvl w:val="6"/>
        <w:numId w:val="8"/>
      </w:numPr>
    </w:pPr>
  </w:style>
  <w:style w:type="paragraph" w:customStyle="1" w:styleId="ListBullet8">
    <w:name w:val="List Bullet 8"/>
    <w:basedOn w:val="HouseStyleBase"/>
    <w:pPr>
      <w:numPr>
        <w:ilvl w:val="7"/>
        <w:numId w:val="8"/>
      </w:numPr>
    </w:pPr>
  </w:style>
  <w:style w:type="paragraph" w:customStyle="1" w:styleId="ListBullet9">
    <w:name w:val="List Bullet 9"/>
    <w:basedOn w:val="HouseStyleBase"/>
    <w:pPr>
      <w:numPr>
        <w:ilvl w:val="8"/>
        <w:numId w:val="8"/>
      </w:numPr>
    </w:pPr>
  </w:style>
  <w:style w:type="paragraph" w:customStyle="1" w:styleId="ScheduleL1">
    <w:name w:val="Schedule L1"/>
    <w:basedOn w:val="HouseStyleBase"/>
    <w:qFormat/>
    <w:pPr>
      <w:numPr>
        <w:numId w:val="7"/>
      </w:numPr>
      <w:outlineLvl w:val="0"/>
    </w:pPr>
  </w:style>
  <w:style w:type="paragraph" w:customStyle="1" w:styleId="ScheduleL2">
    <w:name w:val="Schedule L2"/>
    <w:basedOn w:val="HouseStyleBase"/>
    <w:qFormat/>
    <w:pPr>
      <w:numPr>
        <w:ilvl w:val="1"/>
        <w:numId w:val="7"/>
      </w:numPr>
      <w:outlineLvl w:val="1"/>
    </w:pPr>
  </w:style>
  <w:style w:type="paragraph" w:customStyle="1" w:styleId="ScheduleL3">
    <w:name w:val="Schedule L3"/>
    <w:basedOn w:val="HouseStyleBase"/>
    <w:qFormat/>
    <w:pPr>
      <w:numPr>
        <w:ilvl w:val="2"/>
        <w:numId w:val="7"/>
      </w:numPr>
      <w:outlineLvl w:val="2"/>
    </w:pPr>
  </w:style>
  <w:style w:type="paragraph" w:customStyle="1" w:styleId="ScheduleL4">
    <w:name w:val="Schedule L4"/>
    <w:basedOn w:val="HouseStyleBase"/>
    <w:qFormat/>
    <w:pPr>
      <w:numPr>
        <w:ilvl w:val="3"/>
        <w:numId w:val="7"/>
      </w:numPr>
      <w:outlineLvl w:val="3"/>
    </w:pPr>
  </w:style>
  <w:style w:type="paragraph" w:customStyle="1" w:styleId="ScheduleL5">
    <w:name w:val="Schedule L5"/>
    <w:basedOn w:val="HouseStyleBase"/>
    <w:qFormat/>
    <w:pPr>
      <w:numPr>
        <w:ilvl w:val="4"/>
        <w:numId w:val="7"/>
      </w:numPr>
      <w:outlineLvl w:val="4"/>
    </w:pPr>
  </w:style>
  <w:style w:type="paragraph" w:customStyle="1" w:styleId="ScheduleL6">
    <w:name w:val="Schedule L6"/>
    <w:basedOn w:val="HouseStyleBase"/>
    <w:qFormat/>
    <w:pPr>
      <w:numPr>
        <w:ilvl w:val="5"/>
        <w:numId w:val="7"/>
      </w:numPr>
      <w:outlineLvl w:val="5"/>
    </w:pPr>
  </w:style>
  <w:style w:type="paragraph" w:customStyle="1" w:styleId="ScheduleL7">
    <w:name w:val="Schedule L7"/>
    <w:basedOn w:val="HouseStyleBase"/>
    <w:qFormat/>
    <w:pPr>
      <w:numPr>
        <w:ilvl w:val="6"/>
        <w:numId w:val="7"/>
      </w:numPr>
      <w:outlineLvl w:val="6"/>
    </w:pPr>
  </w:style>
  <w:style w:type="paragraph" w:customStyle="1" w:styleId="ScheduleL8">
    <w:name w:val="Schedule L8"/>
    <w:basedOn w:val="HouseStyleBase"/>
    <w:qFormat/>
    <w:pPr>
      <w:numPr>
        <w:ilvl w:val="7"/>
        <w:numId w:val="7"/>
      </w:numPr>
      <w:outlineLvl w:val="7"/>
    </w:pPr>
  </w:style>
  <w:style w:type="paragraph" w:customStyle="1" w:styleId="ScheduleL9">
    <w:name w:val="Schedule L9"/>
    <w:basedOn w:val="HouseStyleBase"/>
    <w:qFormat/>
    <w:pPr>
      <w:numPr>
        <w:ilvl w:val="8"/>
        <w:numId w:val="7"/>
      </w:numPr>
      <w:outlineLvl w:val="8"/>
    </w:pPr>
  </w:style>
  <w:style w:type="paragraph" w:customStyle="1" w:styleId="BodyTextIndent8">
    <w:name w:val="Body Text Indent 8"/>
    <w:basedOn w:val="HouseStyleBase"/>
    <w:link w:val="BodyTextIndent8Char"/>
    <w:qFormat/>
    <w:pPr>
      <w:ind w:left="5040"/>
    </w:p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MarginTextChar">
    <w:name w:val="Margin Text Char"/>
    <w:basedOn w:val="HouseStyleBaseChar"/>
    <w:link w:val="MarginText"/>
    <w:rPr>
      <w:rFonts w:eastAsia="STZhongsong"/>
      <w:sz w:val="22"/>
      <w:lang w:eastAsia="zh-CN"/>
    </w:rPr>
  </w:style>
  <w:style w:type="character" w:customStyle="1" w:styleId="BodyTextIndent8Char">
    <w:name w:val="Body Text Indent 8 Char"/>
    <w:basedOn w:val="MarginTextChar"/>
    <w:link w:val="BodyTextIndent8"/>
    <w:rPr>
      <w:rFonts w:eastAsia="STZhongsong"/>
      <w:sz w:val="22"/>
      <w:lang w:eastAsia="zh-CN"/>
    </w:rPr>
  </w:style>
  <w:style w:type="paragraph" w:customStyle="1" w:styleId="BodyTextIndent9">
    <w:name w:val="Body Text Indent 9"/>
    <w:basedOn w:val="HouseStyleBase"/>
    <w:link w:val="BodyTextIndent9Char"/>
    <w:qFormat/>
    <w:pPr>
      <w:ind w:left="5760"/>
    </w:pPr>
  </w:style>
  <w:style w:type="character" w:customStyle="1" w:styleId="BodyTextIndent9Char">
    <w:name w:val="Body Text Indent 9 Char"/>
    <w:basedOn w:val="MarginTextChar"/>
    <w:link w:val="BodyTextIndent9"/>
    <w:rPr>
      <w:rFonts w:eastAsia="STZhongsong"/>
      <w:sz w:val="22"/>
      <w:lang w:eastAsia="zh-CN"/>
    </w:rPr>
  </w:style>
  <w:style w:type="character" w:customStyle="1" w:styleId="BodyTextChar">
    <w:name w:val="Body Text Char"/>
    <w:link w:val="BodyText"/>
    <w:rPr>
      <w:sz w:val="22"/>
      <w:lang w:val="pt-BR"/>
    </w:rPr>
  </w:style>
  <w:style w:type="character" w:customStyle="1" w:styleId="BodyTextIndentChar">
    <w:name w:val="Body Text Indent Char"/>
    <w:link w:val="BodyTextIndent"/>
    <w:rPr>
      <w:rFonts w:eastAsia="STZhongsong"/>
      <w:sz w:val="22"/>
      <w:lang w:val="pt-BR" w:eastAsia="zh-CN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t-BR"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2"/>
      <w:lang w:val="pt-BR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  <w:lang w:val="pt-BR" w:eastAsia="en-US"/>
    </w:rPr>
  </w:style>
  <w:style w:type="paragraph" w:styleId="BodyTextFirstIndent">
    <w:name w:val="Body Text First Indent"/>
    <w:basedOn w:val="BodyText"/>
    <w:link w:val="BodyTextFirstIndentChar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val="pt-BR"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line="360" w:lineRule="auto"/>
      <w:ind w:left="360" w:firstLine="360"/>
      <w:textAlignment w:val="baseline"/>
    </w:pPr>
    <w:rPr>
      <w:rFonts w:eastAsia="Times New Roman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STZhongsong"/>
      <w:sz w:val="22"/>
      <w:lang w:val="pt-BR" w:eastAsia="en-US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Pr>
      <w:sz w:val="22"/>
      <w:lang w:val="pt-BR" w:eastAsia="en-US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pt-BR" w:eastAsia="en-US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2"/>
      <w:lang w:val="pt-BR" w:eastAsia="en-US"/>
    </w:rPr>
  </w:style>
  <w:style w:type="paragraph" w:styleId="DocumentMap">
    <w:name w:val="Document Map"/>
    <w:basedOn w:val="Normal"/>
    <w:link w:val="DocumentMap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  <w:lang w:val="pt-BR" w:eastAsia="en-US"/>
    </w:rPr>
  </w:style>
  <w:style w:type="paragraph" w:styleId="E-mailSignature">
    <w:name w:val="E-mail Signature"/>
    <w:basedOn w:val="Normal"/>
    <w:link w:val="E-mailSignatureChar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Pr>
      <w:sz w:val="22"/>
      <w:lang w:val="pt-BR" w:eastAsia="en-US"/>
    </w:rPr>
  </w:style>
  <w:style w:type="character" w:styleId="Emphasis">
    <w:name w:val="Emphasis"/>
    <w:basedOn w:val="DefaultParagraphFont"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2"/>
      <w:lang w:val="pt-BR" w:eastAsia="en-US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/>
      <w:lang w:val="pt-BR" w:eastAsia="en-US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2"/>
      <w:lang w:val="pt-BR" w:eastAsia="en-US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11"/>
      </w:numPr>
      <w:contextualSpacing/>
    </w:pPr>
  </w:style>
  <w:style w:type="paragraph" w:styleId="ListNumber2">
    <w:name w:val="List Number 2"/>
    <w:basedOn w:val="Normal"/>
    <w:pPr>
      <w:numPr>
        <w:numId w:val="12"/>
      </w:numPr>
      <w:contextualSpacing/>
    </w:pPr>
  </w:style>
  <w:style w:type="paragraph" w:styleId="ListNumber3">
    <w:name w:val="List Number 3"/>
    <w:basedOn w:val="Normal"/>
    <w:pPr>
      <w:numPr>
        <w:numId w:val="13"/>
      </w:numPr>
      <w:contextualSpacing/>
    </w:pPr>
  </w:style>
  <w:style w:type="paragraph" w:styleId="ListNumber4">
    <w:name w:val="List Number 4"/>
    <w:basedOn w:val="Normal"/>
    <w:pPr>
      <w:numPr>
        <w:numId w:val="14"/>
      </w:numPr>
      <w:contextualSpacing/>
    </w:pPr>
  </w:style>
  <w:style w:type="paragraph" w:styleId="ListNumber5">
    <w:name w:val="List Number 5"/>
    <w:basedOn w:val="Normal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Macro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nsolas" w:hAnsi="Consolas"/>
      <w:lang w:val="pt-BR" w:eastAsia="en-US"/>
    </w:rPr>
  </w:style>
  <w:style w:type="character" w:customStyle="1" w:styleId="MacroTextChar">
    <w:name w:val="Macro Text Char"/>
    <w:basedOn w:val="DefaultParagraphFont"/>
    <w:link w:val="Macro"/>
    <w:rPr>
      <w:rFonts w:ascii="Consolas" w:hAnsi="Consolas"/>
      <w:lang w:val="pt-BR"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  <w:lang w:val="pt-BR" w:eastAsia="en-US"/>
    </w:rPr>
  </w:style>
  <w:style w:type="paragraph" w:styleId="NoSpacing">
    <w:name w:val="No Spacing"/>
    <w:uiPriority w:val="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pt-BR"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">
    <w:name w:val="Note Heading"/>
    <w:basedOn w:val="Normal"/>
    <w:next w:val="Normal"/>
    <w:link w:val="NoteHeadingChar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Pr>
      <w:sz w:val="22"/>
      <w:lang w:val="pt-BR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  <w:lang w:val="pt-BR" w:eastAsia="en-US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2"/>
      <w:lang w:val="pt-BR"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2"/>
      <w:lang w:val="pt-BR" w:eastAsia="en-US"/>
    </w:rPr>
  </w:style>
  <w:style w:type="paragraph" w:styleId="Signature">
    <w:name w:val="Signature"/>
    <w:basedOn w:val="Normal"/>
    <w:link w:val="SignatureChar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Pr>
      <w:sz w:val="22"/>
      <w:lang w:val="pt-BR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Subtitle">
    <w:name w:val="Subtitle"/>
    <w:basedOn w:val="Normal"/>
    <w:next w:val="Normal"/>
    <w:link w:val="SubtitleChar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en-US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overflowPunct w:val="0"/>
      <w:autoSpaceDE w:val="0"/>
      <w:autoSpaceDN w:val="0"/>
      <w:spacing w:before="480" w:after="0" w:line="360" w:lineRule="auto"/>
      <w:textAlignment w:val="baseline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Pr>
      <w:rFonts w:eastAsia="STZhongsong"/>
      <w:sz w:val="22"/>
      <w:lang w:val="pt-BR" w:eastAsia="zh-CN"/>
    </w:rPr>
  </w:style>
  <w:style w:type="paragraph" w:styleId="Revision">
    <w:name w:val="Revision"/>
    <w:hidden/>
    <w:uiPriority w:val="99"/>
    <w:semiHidden/>
    <w:rPr>
      <w:sz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8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fontTable" Target="fontTable.xml"/><Relationship Id="rId12" Type="http://schemas.openxmlformats.org/officeDocument/2006/relationships/theme" Target="theme/theme1.xml"/><Relationship Id="rId7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footer" Target="footer3.xml"/><Relationship Id="rId6" Type="http://schemas.openxmlformats.org/officeDocument/2006/relationships/header" Target="header1.xml"/><Relationship Id="rId5" Type="http://schemas.openxmlformats.org/officeDocument/2006/relationships/customXml" Target="../customXml/item2.xml"/><Relationship Id="rId10" Type="http://schemas.openxmlformats.org/officeDocument/2006/relationships/header" Target="header3.xml"/><Relationship Id="rId14" Type="http://schemas.openxmlformats.org/officeDocument/2006/relationships/styles" Target="styles.xml"/><Relationship Id="rId4" Type="http://schemas.openxmlformats.org/officeDocument/2006/relationships/customXml" Target="../customXml/item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 U K M A T T E R S ! 9 8 6 0 6 0 8 7 . 1 < / d o c u m e n t i d >  
     < s e n d e r i d > D A N I E L . D A M B R O S I O < / s e n d e r i d >  
     < s e n d e r e m a i l > D A N I E L . D A M B R O S I O @ D L A P I P E R . C O M < / s e n d e r e m a i l >  
     < l a s t m o d i f i e d > 2 0 1 9 - 1 2 - 1 2 T 1 5 : 0 5 : 0 0 . 0 0 0 0 0 0 0 + 0 0 : 0 0 < / l a s t m o d i f i e d >  
     < d a t a b a s e > U K M A T T E R S 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10" ma:contentTypeDescription="Create a new document." ma:contentTypeScope="" ma:versionID="3193e6d43af868a74eeb99510cbf3dd9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bb47ada5401a3611c16cd5de86ec81d7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A256E0328D94F9B22CDE47125D4D1" ma:contentTypeVersion="8" ma:contentTypeDescription="Crée un document." ma:contentTypeScope="" ma:versionID="e905d7d4b55b189de1ebf17741a53fad">
  <xsd:schema xmlns:xsd="http://www.w3.org/2001/XMLSchema" xmlns:xs="http://www.w3.org/2001/XMLSchema" xmlns:p="http://schemas.microsoft.com/office/2006/metadata/properties" xmlns:ns2="25639256-30d7-432a-87a3-557fc3364888" targetNamespace="http://schemas.microsoft.com/office/2006/metadata/properties" ma:root="true" ma:fieldsID="3a78d2891fdb93b009cc4ac87683d004" ns2:_="">
    <xsd:import namespace="25639256-30d7-432a-87a3-557fc3364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39256-30d7-432a-87a3-557fc3364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{2940706B-29BC-44C6-9615-395864778E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BF6D19-6310-4237-8471-5F12D6C495B4}"/>
</file>

<file path=customXml/itemProps4.xml><?xml version="1.0" encoding="utf-8"?>
<ds:datastoreItem xmlns:ds="http://schemas.openxmlformats.org/officeDocument/2006/customXml" ds:itemID="{61ED6FFC-4A67-4962-88C2-605963779F9D}"/>
</file>

<file path=customXml/itemProps5.xml><?xml version="1.0" encoding="utf-8"?>
<ds:datastoreItem xmlns:ds="http://schemas.openxmlformats.org/officeDocument/2006/customXml" ds:itemID="{E9E36F28-9E44-4974-9310-05F58B5A2436}"/>
</file>

<file path=customXml/itemProps6.xml><?xml version="1.0" encoding="utf-8"?>
<ds:datastoreItem xmlns:ds="http://schemas.openxmlformats.org/officeDocument/2006/customXml" ds:itemID="{D881E340-A3CE-4315-A220-4DF3B4F57364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1272</Words>
  <Characters>7229</Characters>
  <Application>Microsoft Office Word</Application>
  <DocSecurity>0</DocSecurity>
  <Lines>58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HS Applied">
    <vt:lpwstr/>
  </property>
  <property fmtid="{D5CDD505-2E9C-101B-9397-08002B2CF9AE}" pid="3" name="gCurrentVersion">
    <vt:lpwstr>2 September 2019 D1V1</vt:lpwstr>
  </property>
  <property fmtid="{D5CDD505-2E9C-101B-9397-08002B2CF9AE}" pid="4" name="Plato EditorId">
    <vt:lpwstr>454a70e2-2464-49d2-ba70-add5dcb82bb9</vt:lpwstr>
  </property>
  <property fmtid="{D5CDD505-2E9C-101B-9397-08002B2CF9AE}" pid="5" name="Plato Jurisdiction">
    <vt:lpwstr>ENW</vt:lpwstr>
  </property>
  <property fmtid="{D5CDD505-2E9C-101B-9397-08002B2CF9AE}" pid="6" name="Plato Language">
    <vt:lpwstr>en_GB</vt:lpwstr>
  </property>
  <property fmtid="{D5CDD505-2E9C-101B-9397-08002B2CF9AE}" pid="7" name="Plato Matter Owner Designation">
    <vt:lpwstr/>
  </property>
  <property fmtid="{D5CDD505-2E9C-101B-9397-08002B2CF9AE}" pid="8" name="Plato Office">
    <vt:lpwstr>LONDON</vt:lpwstr>
  </property>
  <property fmtid="{D5CDD505-2E9C-101B-9397-08002B2CF9AE}" pid="9" name="Plato Template">
    <vt:lpwstr>global-blank</vt:lpwstr>
  </property>
  <property fmtid="{D5CDD505-2E9C-101B-9397-08002B2CF9AE}" pid="10" name="Plato Template Version">
    <vt:lpwstr>2.0</vt:lpwstr>
  </property>
  <property fmtid="{D5CDD505-2E9C-101B-9397-08002B2CF9AE}" pid="11" name="ContentTypeId">
    <vt:lpwstr>0x010100B40A256E0328D94F9B22CDE47125D4D1</vt:lpwstr>
  </property>
  <property fmtid="{D5CDD505-2E9C-101B-9397-08002B2CF9AE}" pid="12" name="_dlc_DocIdItemGuid">
    <vt:lpwstr>1777213e-bd56-4807-8737-8ed6fb16df45</vt:lpwstr>
  </property>
</Properties>
</file>